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0" w:right="0" w:rightChars="0"/>
        <w:rPr>
          <w:rFonts w:hint="eastAsia" w:ascii="仿宋" w:hAnsi="仿宋" w:eastAsia="仿宋"/>
          <w:color w:val="auto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0" w:right="0" w:rightChars="0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</w:rPr>
        <w:t>广东省文物保护单位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  <w:lang w:val="en-US" w:eastAsia="zh-CN"/>
        </w:rPr>
        <w:t>安全防护工程竣工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</w:rPr>
        <w:t>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7"/>
          <w:kern w:val="0"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w w:val="99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9"/>
          <w:sz w:val="32"/>
          <w:szCs w:val="32"/>
          <w:lang w:eastAsia="zh-CN"/>
        </w:rPr>
        <w:t>（消防、防雷样表</w:t>
      </w:r>
      <w:r>
        <w:rPr>
          <w:rFonts w:hint="eastAsia" w:ascii="宋体" w:hAnsi="宋体" w:cs="宋体"/>
          <w:b/>
          <w:bCs/>
          <w:color w:val="auto"/>
          <w:w w:val="99"/>
          <w:sz w:val="32"/>
          <w:szCs w:val="32"/>
          <w:lang w:eastAsia="zh-CN"/>
        </w:rPr>
        <w:t>征求意见稿</w:t>
      </w:r>
      <w:r>
        <w:rPr>
          <w:rFonts w:hint="eastAsia" w:ascii="宋体" w:hAnsi="宋体" w:eastAsia="宋体" w:cs="宋体"/>
          <w:b/>
          <w:bCs/>
          <w:color w:val="auto"/>
          <w:w w:val="99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hint="eastAsia" w:ascii="宋体" w:hAnsi="宋体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rightChars="0" w:firstLine="1417" w:firstLineChars="443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</w:rPr>
        <w:t>申请单位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</w:rPr>
        <w:t>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rightChars="0" w:firstLine="1417" w:firstLineChars="443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lang w:val="en-US" w:eastAsia="zh-CN"/>
        </w:rPr>
        <w:t>负责人（签名）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</w:rPr>
        <w:t>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rightChars="0" w:firstLine="1417" w:firstLineChars="443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lang w:val="en-US" w:eastAsia="zh-CN"/>
        </w:rPr>
        <w:t>文物保护单位名称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</w:rPr>
        <w:t>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ascii="宋体" w:hAnsi="宋体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ascii="宋体" w:hAnsi="宋体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jc w:val="center"/>
        <w:rPr>
          <w:rFonts w:hint="eastAsia" w:ascii="仿宋_GB2312" w:hAnsi="仿宋_GB2312" w:eastAsia="仿宋_GB2312" w:cs="仿宋_GB2312"/>
          <w:color w:val="auto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lang w:eastAsia="zh-CN"/>
        </w:rPr>
        <w:t>广东省文物局制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rPr>
          <w:rFonts w:ascii="宋体" w:hAnsi="宋体"/>
          <w:color w:val="auto"/>
          <w:sz w:val="3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sectPr>
          <w:pgSz w:w="12240" w:h="15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440" w:lineRule="exact"/>
        <w:jc w:val="center"/>
        <w:rPr>
          <w:rFonts w:hint="eastAsia" w:ascii="小标宋" w:hAnsi="小标宋" w:eastAsia="小标宋" w:cs="小标宋"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小标宋" w:hAnsi="小标宋" w:eastAsia="小标宋" w:cs="小标宋"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小标宋" w:hAnsi="小标宋" w:eastAsia="小标宋" w:cs="小标宋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填写说明</w:t>
      </w:r>
    </w:p>
    <w:p>
      <w:pPr>
        <w:adjustRightInd w:val="0"/>
        <w:snapToGrid w:val="0"/>
        <w:spacing w:line="360" w:lineRule="auto"/>
        <w:rPr>
          <w:rFonts w:ascii="宋体" w:hAnsi="宋体" w:eastAsia="仿宋_GB2312" w:cs="宋体"/>
          <w:color w:val="auto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1.本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是建设单位实施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省级以上文物保护单位安防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查验的结果汇总，并作为工程竣工验收报告的附件，在申请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安防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验收或备案时向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安防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设计审查验收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的文物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主管部门一并提交。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.本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是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文物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主管部门实施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文物安防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验收现场评定的重要依据，建设、设计、施工、监理及其参与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查验收的人员应充分了解其法律后果并确保如实填写。填写要求内容真实，语言简练，字迹清楚。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.本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份，建设单位、设计单位、施工单位、监理单位、审查验收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文物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各持一份。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.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单位负责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核查参加验收人员从业单位、姓名、执业资格并确保其签名真实有效。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5.表格设定的栏目，应逐项填写；不需填写的，可填“无”。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6.本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中的所有表格，栏目或内容不够的可自行增加。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如专家初验等可增加专家意见表。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7.各责任主体单位均应在本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上盖骑缝章。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4"/>
          <w:szCs w:val="24"/>
        </w:rPr>
      </w:pPr>
    </w:p>
    <w:tbl>
      <w:tblPr>
        <w:tblStyle w:val="7"/>
        <w:tblW w:w="526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991"/>
        <w:gridCol w:w="1539"/>
        <w:gridCol w:w="1450"/>
        <w:gridCol w:w="1365"/>
        <w:gridCol w:w="1349"/>
        <w:gridCol w:w="948"/>
        <w:gridCol w:w="14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eastAsia="zh-CN"/>
              </w:rPr>
              <w:t>文物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单位名称</w:t>
            </w:r>
          </w:p>
        </w:tc>
        <w:tc>
          <w:tcPr>
            <w:tcW w:w="15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  <w:t>文物类别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  <w:t>文物级别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详细地址</w:t>
            </w:r>
          </w:p>
        </w:tc>
        <w:tc>
          <w:tcPr>
            <w:tcW w:w="4174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管理单位</w:t>
            </w:r>
          </w:p>
        </w:tc>
        <w:tc>
          <w:tcPr>
            <w:tcW w:w="15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630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使用单位</w:t>
            </w:r>
          </w:p>
        </w:tc>
        <w:tc>
          <w:tcPr>
            <w:tcW w:w="192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工程名称</w:t>
            </w:r>
          </w:p>
        </w:tc>
        <w:tc>
          <w:tcPr>
            <w:tcW w:w="4174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56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立项批准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及文号</w:t>
            </w:r>
          </w:p>
        </w:tc>
        <w:tc>
          <w:tcPr>
            <w:tcW w:w="15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eastAsia="zh-CN"/>
              </w:rPr>
              <w:t>设计方案批准时间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及文号</w:t>
            </w:r>
          </w:p>
        </w:tc>
        <w:tc>
          <w:tcPr>
            <w:tcW w:w="192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56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总投资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中央财政补助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省财政补助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地方投入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本单位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投入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其它经费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设计单位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资质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施工单位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资质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工程负责人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监理单位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资质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监理负责人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  <w:t>第三方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检测单位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w w:val="99"/>
                <w:sz w:val="22"/>
                <w:szCs w:val="22"/>
                <w:lang w:eastAsia="zh-CN"/>
              </w:rPr>
              <w:t>资质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项目负责人</w:t>
            </w:r>
          </w:p>
        </w:tc>
        <w:tc>
          <w:tcPr>
            <w:tcW w:w="12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开工时间</w:t>
            </w:r>
          </w:p>
        </w:tc>
        <w:tc>
          <w:tcPr>
            <w:tcW w:w="15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竣工时间</w:t>
            </w:r>
          </w:p>
        </w:tc>
        <w:tc>
          <w:tcPr>
            <w:tcW w:w="192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5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经费使用情况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总预算</w:t>
            </w: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工程合同金额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竣工结算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eastAsia="zh-CN"/>
              </w:rPr>
              <w:t>金额</w:t>
            </w:r>
          </w:p>
        </w:tc>
        <w:tc>
          <w:tcPr>
            <w:tcW w:w="192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</w:rPr>
              <w:t>节余或超支原因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5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2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2"/>
                <w:szCs w:val="22"/>
                <w:lang w:val="en-US" w:eastAsia="zh-CN"/>
              </w:rPr>
              <w:t>本次安全防护工程内容</w:t>
            </w:r>
          </w:p>
        </w:tc>
        <w:tc>
          <w:tcPr>
            <w:tcW w:w="468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75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5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5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5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5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5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/>
        <w:ind w:left="0" w:right="0" w:rightChars="0"/>
        <w:rPr>
          <w:color w:val="auto"/>
          <w:sz w:val="2"/>
        </w:rPr>
        <w:sectPr>
          <w:footerReference r:id="rId3" w:type="default"/>
          <w:pgSz w:w="12240" w:h="15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rFonts w:hint="default"/>
          <w:color w:val="auto"/>
          <w:sz w:val="24"/>
          <w:szCs w:val="24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设计单位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工程的验收意见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勘察设计人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6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勘察设计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单位负责人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jc w:val="center"/>
        <w:rPr>
          <w:color w:val="auto"/>
          <w:sz w:val="17"/>
        </w:rPr>
        <w:sectPr>
          <w:pgSz w:w="12240" w:h="15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4"/>
          <w:szCs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竣工说明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现场负责人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6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施工单位（公章）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4"/>
          <w:szCs w:val="24"/>
        </w:rPr>
      </w:pPr>
    </w:p>
    <w:tbl>
      <w:tblPr>
        <w:tblStyle w:val="8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0772" w:hRule="atLeast"/>
        </w:trPr>
        <w:tc>
          <w:tcPr>
            <w:tcW w:w="50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监理单位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现场监理人（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项目负责人（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6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监理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17"/>
        </w:rPr>
        <w:sectPr>
          <w:pgSz w:w="12240" w:h="15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jc w:val="center"/>
        <w:rPr>
          <w:color w:val="auto"/>
          <w:sz w:val="24"/>
          <w:szCs w:val="24"/>
        </w:rPr>
      </w:pPr>
    </w:p>
    <w:tbl>
      <w:tblPr>
        <w:tblStyle w:val="8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0772" w:hRule="atLeast"/>
        </w:trPr>
        <w:tc>
          <w:tcPr>
            <w:tcW w:w="50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经办人（签名）：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审核人（签名）：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6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17"/>
        </w:rPr>
        <w:sectPr>
          <w:pgSz w:w="12240" w:h="15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县（区）文物行政部门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县（区）文物行政部门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0"/>
        </w:rPr>
        <w:sectPr>
          <w:pgSz w:w="11900" w:h="16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50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市文物行政部门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验收意见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color w:val="auto"/>
                <w:sz w:val="2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 w:firstLine="6000" w:firstLineChars="25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市文物行政部门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  <w:tab w:val="left" w:pos="1560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74" w:lineRule="exact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 w:firstLine="720" w:firstLineChars="3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年  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right="0" w:rightChars="0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color w:val="auto"/>
          <w:sz w:val="20"/>
        </w:rPr>
        <w:sectPr>
          <w:pgSz w:w="11900" w:h="16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right="0" w:rightChars="0"/>
        <w:jc w:val="center"/>
        <w:rPr>
          <w:rFonts w:hint="eastAsia"/>
          <w:color w:val="auto"/>
          <w:sz w:val="13"/>
          <w:szCs w:val="13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 w:firstLine="560" w:firstLineChars="20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专家组对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验收意见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right="0" w:rightChars="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rPr>
                <w:rFonts w:hint="eastAsia" w:eastAsia="宋体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rPr>
                <w:rFonts w:hint="eastAsia" w:eastAsia="宋体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专家组（签名）：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6120" w:firstLineChars="25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0" w:right="0" w:rightChars="0" w:firstLine="6960" w:firstLineChars="2900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strike/>
          <w:dstrike w:val="0"/>
          <w:color w:val="auto"/>
          <w:sz w:val="2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广东省文物保护单位安全防护工程竣工验收登记表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14"/>
        <w:gridCol w:w="4255"/>
        <w:gridCol w:w="182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验收专家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行政单位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第三方机构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第三方检测单位（如有）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可加行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…</w:t>
            </w:r>
          </w:p>
        </w:tc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720" w:firstLineChars="2800"/>
        <w:jc w:val="both"/>
        <w:rPr>
          <w:rFonts w:hint="default" w:ascii="等线" w:hAnsi="等线" w:eastAsia="等线" w:cs="等线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编号：</w:t>
      </w:r>
      <w:r>
        <w:rPr>
          <w:rFonts w:hint="default" w:ascii="等线" w:hAnsi="等线" w:eastAsia="等线" w:cs="等线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文物安全防护工程实施效果专家评估表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等线" w:hAnsi="等线" w:eastAsia="等线" w:cs="等线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工程名称：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single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single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等线" w:hAnsi="等线" w:eastAsia="等线" w:cs="等线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　　　 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77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项目竣工验收情况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60" w:lineRule="exact"/>
              <w:ind w:right="113" w:firstLine="488"/>
              <w:textAlignment w:val="auto"/>
              <w:rPr>
                <w:rFonts w:hint="default" w:ascii="黑体" w:hAnsi="黑体" w:eastAsia="仿宋" w:cs="黑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工程资料情况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系统运行现状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设施设备状况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项目总体评价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下一步工作建议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专家签字：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　　　　　　　　　　　　　　　　　　　　　　　　　　　　　　　　　　　　　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　　　　　　　　　　　　　　　　　　　　　　　　　　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 年 　月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right="0" w:rightChars="0"/>
        <w:rPr>
          <w:strike/>
          <w:dstrike w:val="0"/>
          <w:color w:val="auto"/>
          <w:sz w:val="20"/>
        </w:rPr>
      </w:pPr>
    </w:p>
    <w:sectPr>
      <w:footerReference r:id="rId4" w:type="default"/>
      <w:pgSz w:w="11906" w:h="16838"/>
      <w:pgMar w:top="181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dhMzhmNTRmYzA4ODAxYWYwMTY4MDJjZjE3YzcifQ=="/>
  </w:docVars>
  <w:rsids>
    <w:rsidRoot w:val="0044278F"/>
    <w:rsid w:val="0044278F"/>
    <w:rsid w:val="00FD5584"/>
    <w:rsid w:val="03A1255E"/>
    <w:rsid w:val="04857662"/>
    <w:rsid w:val="04FB2BB6"/>
    <w:rsid w:val="06B156A8"/>
    <w:rsid w:val="08DB3D33"/>
    <w:rsid w:val="0B2F3063"/>
    <w:rsid w:val="11F86C31"/>
    <w:rsid w:val="17A02377"/>
    <w:rsid w:val="2CFC5071"/>
    <w:rsid w:val="32DE2853"/>
    <w:rsid w:val="33033E4C"/>
    <w:rsid w:val="33BE1D97"/>
    <w:rsid w:val="345D2017"/>
    <w:rsid w:val="36615E02"/>
    <w:rsid w:val="36D61606"/>
    <w:rsid w:val="38C711F9"/>
    <w:rsid w:val="3A7461F5"/>
    <w:rsid w:val="3EFFB6DC"/>
    <w:rsid w:val="3F0B258B"/>
    <w:rsid w:val="3FFF44CB"/>
    <w:rsid w:val="41647872"/>
    <w:rsid w:val="428850FC"/>
    <w:rsid w:val="42FE3718"/>
    <w:rsid w:val="43F81836"/>
    <w:rsid w:val="461F5D9E"/>
    <w:rsid w:val="4B2D1D76"/>
    <w:rsid w:val="4D8B3B2A"/>
    <w:rsid w:val="50645F12"/>
    <w:rsid w:val="50F021EC"/>
    <w:rsid w:val="520850C0"/>
    <w:rsid w:val="52150217"/>
    <w:rsid w:val="52251201"/>
    <w:rsid w:val="57FD0FE9"/>
    <w:rsid w:val="588C6E1C"/>
    <w:rsid w:val="59084281"/>
    <w:rsid w:val="59BA7575"/>
    <w:rsid w:val="59FA97FD"/>
    <w:rsid w:val="5B35366F"/>
    <w:rsid w:val="5FB7EE30"/>
    <w:rsid w:val="6198016C"/>
    <w:rsid w:val="657A7D35"/>
    <w:rsid w:val="65A42872"/>
    <w:rsid w:val="682C31E1"/>
    <w:rsid w:val="696056F9"/>
    <w:rsid w:val="69BE51E7"/>
    <w:rsid w:val="6AD30544"/>
    <w:rsid w:val="6BEE3F33"/>
    <w:rsid w:val="6EC70E35"/>
    <w:rsid w:val="745E5AFD"/>
    <w:rsid w:val="764E665C"/>
    <w:rsid w:val="785726D7"/>
    <w:rsid w:val="78BB0D8E"/>
    <w:rsid w:val="7B3FB81F"/>
    <w:rsid w:val="7B7B47AA"/>
    <w:rsid w:val="7BF104AD"/>
    <w:rsid w:val="7EC04BCF"/>
    <w:rsid w:val="7F4F47B0"/>
    <w:rsid w:val="7FA87F3D"/>
    <w:rsid w:val="7FF7C54B"/>
    <w:rsid w:val="97FD8958"/>
    <w:rsid w:val="B2BFBBFA"/>
    <w:rsid w:val="B7571BA4"/>
    <w:rsid w:val="BF95AA25"/>
    <w:rsid w:val="C5EF4BC1"/>
    <w:rsid w:val="DEEDA9D8"/>
    <w:rsid w:val="F3BF2614"/>
    <w:rsid w:val="FBF98F07"/>
    <w:rsid w:val="FDF62399"/>
    <w:rsid w:val="FE6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basedOn w:val="9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1313</Words>
  <Characters>1320</Characters>
  <Lines>22</Lines>
  <Paragraphs>6</Paragraphs>
  <TotalTime>0</TotalTime>
  <ScaleCrop>false</ScaleCrop>
  <LinksUpToDate>false</LinksUpToDate>
  <CharactersWithSpaces>2320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2020-03-19T00:42:00Z</dcterms:created>
  <dc:creator>kgs123</dc:creator>
  <cp:lastModifiedBy>车宝琴</cp:lastModifiedBy>
  <cp:lastPrinted>2024-10-13T01:07:00Z</cp:lastPrinted>
  <dcterms:modified xsi:type="dcterms:W3CDTF">2024-12-09T07:55:42Z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4816102AFEF04FCD9170CCC9F30D0190</vt:lpwstr>
  </property>
</Properties>
</file>