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700" w:lineRule="exact"/>
        <w:ind w:firstLine="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spacing w:beforeLines="0" w:afterLines="0" w:line="700" w:lineRule="exact"/>
        <w:ind w:firstLine="0"/>
        <w:jc w:val="left"/>
        <w:rPr>
          <w:rFonts w:hint="eastAsia" w:ascii="黑体" w:hAnsi="黑体" w:eastAsia="黑体" w:cs="黑体"/>
          <w:b w:val="0"/>
          <w:bCs w:val="0"/>
          <w:sz w:val="32"/>
          <w:szCs w:val="32"/>
          <w:lang w:val="en-US" w:eastAsia="zh-CN"/>
        </w:rPr>
      </w:pPr>
    </w:p>
    <w:p>
      <w:pPr>
        <w:spacing w:beforeLines="0" w:afterLines="0" w:line="700" w:lineRule="exact"/>
        <w:ind w:firstLine="0"/>
        <w:jc w:val="center"/>
        <w:rPr>
          <w:rFonts w:hint="eastAsia" w:ascii="方正小标宋简体" w:hAnsi="方正小标宋简体" w:eastAsia="方正小标宋简体" w:cs="方正小标宋简体"/>
          <w:snapToGrid/>
          <w:color w:val="040404"/>
          <w:sz w:val="44"/>
          <w:szCs w:val="44"/>
          <w:lang w:eastAsia="zh-CN"/>
        </w:rPr>
      </w:pPr>
      <w:r>
        <w:rPr>
          <w:rFonts w:hint="eastAsia" w:ascii="方正小标宋简体" w:hAnsi="方正小标宋简体" w:eastAsia="方正小标宋简体" w:cs="方正小标宋简体"/>
          <w:b w:val="0"/>
          <w:bCs w:val="0"/>
          <w:sz w:val="44"/>
          <w:szCs w:val="44"/>
          <w:lang w:val="en-US" w:eastAsia="zh-CN"/>
        </w:rPr>
        <w:t>2</w:t>
      </w:r>
      <w:r>
        <w:rPr>
          <w:rFonts w:hint="default" w:ascii="方正小标宋简体" w:hAnsi="方正小标宋简体" w:eastAsia="方正小标宋简体" w:cs="方正小标宋简体"/>
          <w:b w:val="0"/>
          <w:bCs w:val="0"/>
          <w:sz w:val="44"/>
          <w:szCs w:val="44"/>
          <w:lang w:val="en-US" w:eastAsia="zh-CN"/>
        </w:rPr>
        <w:t>022</w:t>
      </w:r>
      <w:r>
        <w:rPr>
          <w:rFonts w:hint="eastAsia" w:ascii="方正小标宋简体" w:hAnsi="方正小标宋简体" w:eastAsia="方正小标宋简体" w:cs="方正小标宋简体"/>
          <w:b w:val="0"/>
          <w:bCs w:val="0"/>
          <w:sz w:val="44"/>
          <w:szCs w:val="44"/>
          <w:lang w:val="en-US" w:eastAsia="zh-CN"/>
        </w:rPr>
        <w:t>—202</w:t>
      </w:r>
      <w:r>
        <w:rPr>
          <w:rFonts w:hint="default"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lang w:val="en-US" w:eastAsia="zh-CN"/>
        </w:rPr>
        <w:t>年度广东省级</w:t>
      </w:r>
      <w:r>
        <w:rPr>
          <w:rFonts w:hint="eastAsia" w:ascii="方正小标宋简体" w:hAnsi="方正小标宋简体" w:eastAsia="方正小标宋简体" w:cs="方正小标宋简体"/>
          <w:snapToGrid/>
          <w:color w:val="040404"/>
          <w:sz w:val="44"/>
          <w:szCs w:val="44"/>
          <w:lang w:eastAsia="zh-CN"/>
        </w:rPr>
        <w:t>公共文化和旅游</w:t>
      </w:r>
    </w:p>
    <w:p>
      <w:pPr>
        <w:spacing w:beforeLines="0" w:afterLines="0" w:line="700" w:lineRule="exact"/>
        <w:ind w:firstLine="0"/>
        <w:jc w:val="center"/>
        <w:rPr>
          <w:rFonts w:hint="eastAsia" w:ascii="方正小标宋简体" w:hAnsi="方正小标宋简体" w:eastAsia="方正小标宋简体" w:cs="方正小标宋简体"/>
          <w:snapToGrid/>
          <w:color w:val="040404"/>
          <w:sz w:val="44"/>
          <w:szCs w:val="44"/>
          <w:lang w:val="en-US" w:eastAsia="zh-CN"/>
        </w:rPr>
      </w:pPr>
      <w:r>
        <w:rPr>
          <w:rFonts w:hint="eastAsia" w:ascii="方正小标宋简体" w:hAnsi="方正小标宋简体" w:eastAsia="方正小标宋简体" w:cs="方正小标宋简体"/>
          <w:snapToGrid/>
          <w:color w:val="040404"/>
          <w:sz w:val="44"/>
          <w:szCs w:val="44"/>
          <w:lang w:eastAsia="zh-CN"/>
        </w:rPr>
        <w:t>公共服务体系制度设计</w:t>
      </w:r>
      <w:r>
        <w:rPr>
          <w:rFonts w:hint="eastAsia" w:ascii="方正小标宋简体" w:hAnsi="方正小标宋简体" w:eastAsia="方正小标宋简体" w:cs="方正小标宋简体"/>
          <w:b w:val="0"/>
          <w:bCs w:val="0"/>
          <w:sz w:val="44"/>
          <w:szCs w:val="44"/>
        </w:rPr>
        <w:t>课题</w:t>
      </w:r>
      <w:r>
        <w:rPr>
          <w:rFonts w:hint="eastAsia" w:ascii="方正小标宋简体" w:hAnsi="方正小标宋简体" w:eastAsia="方正小标宋简体" w:cs="方正小标宋简体"/>
          <w:b w:val="0"/>
          <w:bCs w:val="0"/>
          <w:sz w:val="44"/>
          <w:szCs w:val="44"/>
          <w:lang w:eastAsia="zh-CN"/>
        </w:rPr>
        <w:t>结项</w:t>
      </w:r>
      <w:r>
        <w:rPr>
          <w:rFonts w:hint="eastAsia" w:ascii="方正小标宋简体" w:hAnsi="方正小标宋简体" w:eastAsia="方正小标宋简体" w:cs="方正小标宋简体"/>
          <w:snapToGrid/>
          <w:color w:val="040404"/>
          <w:sz w:val="44"/>
          <w:szCs w:val="44"/>
          <w:lang w:val="en-US" w:eastAsia="zh-CN"/>
        </w:rPr>
        <w:t>结果</w:t>
      </w:r>
    </w:p>
    <w:p>
      <w:pPr>
        <w:pStyle w:val="2"/>
        <w:ind w:firstLine="0"/>
        <w:rPr>
          <w:rFonts w:hint="eastAsia"/>
          <w:lang w:val="en-US" w:eastAsia="zh-CN"/>
        </w:rPr>
      </w:pPr>
    </w:p>
    <w:p>
      <w:pPr>
        <w:pStyle w:val="2"/>
        <w:rPr>
          <w:rFonts w:hint="eastAsia"/>
          <w:lang w:val="en-US" w:eastAsia="zh-CN"/>
        </w:rPr>
      </w:pPr>
    </w:p>
    <w:tbl>
      <w:tblPr>
        <w:tblStyle w:val="3"/>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37"/>
        <w:gridCol w:w="242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293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课题题目</w:t>
            </w:r>
          </w:p>
        </w:tc>
        <w:tc>
          <w:tcPr>
            <w:tcW w:w="242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课题单位</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广东省公共图书馆未成年人服务现状与发展研究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广东省立中山图书馆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36"/>
                <w:lang w:val="en-US" w:eastAsia="zh-CN" w:bidi="ar-SA"/>
              </w:rPr>
            </w:pPr>
            <w:r>
              <w:rPr>
                <w:rFonts w:hint="eastAsia" w:ascii="仿宋_GB2312" w:hAnsi="仿宋_GB2312" w:eastAsia="仿宋_GB2312" w:cs="仿宋_GB2312"/>
                <w:color w:val="auto"/>
                <w:sz w:val="24"/>
                <w:szCs w:val="36"/>
                <w:lang w:val="en-US" w:eastAsia="zh-CN"/>
              </w:rPr>
              <w:t>2</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《中华人民共和国公共图书馆法》实施效果研究——以广东省为例</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广州图书馆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36"/>
                <w:lang w:val="en-US" w:eastAsia="zh-CN" w:bidi="ar-SA"/>
              </w:rPr>
            </w:pPr>
            <w:r>
              <w:rPr>
                <w:rFonts w:hint="eastAsia" w:ascii="仿宋_GB2312" w:hAnsi="仿宋_GB2312" w:eastAsia="仿宋_GB2312" w:cs="仿宋_GB2312"/>
                <w:color w:val="auto"/>
                <w:sz w:val="24"/>
                <w:szCs w:val="36"/>
                <w:lang w:val="en-US" w:eastAsia="zh-CN"/>
              </w:rPr>
              <w:t>3</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公共文化机构融合发展创新实践研究——基于“佛山市公共文化设施联盟”的实践分析</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佛山市图书馆</w:t>
            </w:r>
          </w:p>
        </w:tc>
        <w:tc>
          <w:tcPr>
            <w:tcW w:w="1655" w:type="dxa"/>
            <w:noWrap w:val="0"/>
            <w:vAlign w:val="center"/>
          </w:tcPr>
          <w:p>
            <w:pPr>
              <w:autoSpaceDN w:val="0"/>
              <w:jc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4</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图书馆服务体系新阶段拓展深化实践研究——以东莞绘本专题图书馆服务体系为例</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东莞图书馆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kern w:val="2"/>
                <w:sz w:val="24"/>
                <w:szCs w:val="36"/>
                <w:lang w:val="en-US" w:eastAsia="zh-CN" w:bidi="ar-SA"/>
              </w:rPr>
            </w:pPr>
            <w:r>
              <w:rPr>
                <w:rFonts w:hint="eastAsia" w:ascii="仿宋_GB2312" w:hAnsi="仿宋_GB2312" w:eastAsia="仿宋_GB2312" w:cs="仿宋_GB2312"/>
                <w:color w:val="auto"/>
                <w:sz w:val="24"/>
                <w:szCs w:val="36"/>
                <w:lang w:val="en-US" w:eastAsia="zh-CN"/>
              </w:rPr>
              <w:t>5</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深度开放引领高黏性文化社群培育——以惠州市文化馆为例</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惠州市文化馆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kern w:val="2"/>
                <w:sz w:val="24"/>
                <w:szCs w:val="36"/>
                <w:lang w:val="en-US" w:eastAsia="zh-CN" w:bidi="ar-SA"/>
              </w:rPr>
            </w:pPr>
            <w:r>
              <w:rPr>
                <w:rFonts w:hint="eastAsia" w:ascii="仿宋_GB2312" w:hAnsi="仿宋_GB2312" w:eastAsia="仿宋_GB2312" w:cs="仿宋_GB2312"/>
                <w:color w:val="auto"/>
                <w:sz w:val="24"/>
                <w:szCs w:val="36"/>
                <w:lang w:val="en-US" w:eastAsia="zh-CN"/>
              </w:rPr>
              <w:t>6</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古籍保护与创新应用研究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中山大学</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7</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广东省公共图书馆政府决策信息服务规范研究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广东省立中山图书馆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8</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老年人文化权益保障研究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广东省文化馆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9</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新媒体环境下公共图书馆数字阅读行为及推广研究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深圳图书馆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10</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全民阅读推广创新模式研究——以南海读书驿站短视频创作为例</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佛山市南海区图书馆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11</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基层公共图书馆红色文献资源建设与活化利用研究——以大岭山图书馆为例</w:t>
            </w:r>
          </w:p>
        </w:tc>
        <w:tc>
          <w:tcPr>
            <w:tcW w:w="242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东莞市大岭山镇宣传</w:t>
            </w:r>
          </w:p>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教育文体旅游办公室</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12</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欠发达地区基层综合性文化服务中心和旅游服务中心融合发展机制研究——以清远乡村“两中心融合”建设为例</w:t>
            </w:r>
          </w:p>
        </w:tc>
        <w:tc>
          <w:tcPr>
            <w:tcW w:w="242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清远市文化广电</w:t>
            </w:r>
          </w:p>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旅游体育局</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13</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文化治理视阈下政府购买公共文化服务“全过程”评价机制研究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中山大学</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14</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国土空间规划下的公共文化设施布局研究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华南师范大学</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15</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智慧图书馆背景下的图书馆采编业务重组研究——以广东省立中山图书馆为例</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广东省立中山图书馆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kern w:val="2"/>
                <w:sz w:val="24"/>
                <w:szCs w:val="36"/>
                <w:lang w:val="en-US" w:eastAsia="zh-CN" w:bidi="ar-SA"/>
              </w:rPr>
            </w:pPr>
            <w:r>
              <w:rPr>
                <w:rFonts w:hint="eastAsia" w:ascii="仿宋_GB2312" w:hAnsi="仿宋_GB2312" w:eastAsia="仿宋_GB2312" w:cs="仿宋_GB2312"/>
                <w:color w:val="auto"/>
                <w:sz w:val="24"/>
                <w:szCs w:val="36"/>
                <w:lang w:val="en-US" w:eastAsia="zh-CN"/>
              </w:rPr>
              <w:t>16</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广州市“图书馆之城”总分馆体系资源下沉机制研究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广州图书馆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17</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阅读推广服务与中小学教育融合发展模式研究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深圳少年儿童图书馆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18</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以</w:t>
            </w:r>
            <w:r>
              <w:rPr>
                <w:rFonts w:hint="eastAsia" w:ascii="仿宋_GB2312" w:hAnsi="宋体"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2"/>
                <w:sz w:val="24"/>
                <w:szCs w:val="40"/>
                <w:vertAlign w:val="baseline"/>
                <w:lang w:val="en-US" w:eastAsia="zh-CN" w:bidi="ar-SA"/>
              </w:rPr>
              <w:t>公共文化进商圈</w:t>
            </w:r>
            <w:r>
              <w:rPr>
                <w:rFonts w:hint="eastAsia" w:ascii="仿宋_GB2312" w:hAnsi="宋体"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2"/>
                <w:sz w:val="24"/>
                <w:szCs w:val="40"/>
                <w:vertAlign w:val="baseline"/>
                <w:lang w:val="en-US" w:eastAsia="zh-CN" w:bidi="ar-SA"/>
              </w:rPr>
              <w:t>引领都市型公共文化创新供给路径研究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深圳市福田区图书馆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19</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海天一色的公共文化空间建设和运行机制研究</w:t>
            </w:r>
          </w:p>
        </w:tc>
        <w:tc>
          <w:tcPr>
            <w:tcW w:w="242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汕头市文化广电</w:t>
            </w:r>
          </w:p>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旅游体育局</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20</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基于地方传统文化传承的公共文化空间重构研究——以佛山市图书馆“馆中馆”建设为例</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佛山市图书馆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21</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粤港澳大湾区公共文化服务社会化发展模式研究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东莞市文化馆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22</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工业园区公共文化赋能经济高质量发展的实践与探索</w:t>
            </w:r>
          </w:p>
        </w:tc>
        <w:tc>
          <w:tcPr>
            <w:tcW w:w="242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中山火炬宣传</w:t>
            </w:r>
          </w:p>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文化服务中心</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23</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文化和旅游志愿者培养、扶持和激励机制研究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暨南大学</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24</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流动性视角下新型城乡公共文化空间运行机制和治理策略研究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华南师范大学</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25</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乡村振兴背景下高校志愿者参与文旅公共服务的动机特征与激励机制研究——以从化为例</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华南师范大学</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26</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color w:val="auto"/>
                <w:kern w:val="0"/>
                <w:sz w:val="24"/>
                <w:szCs w:val="24"/>
                <w:highlight w:val="none"/>
                <w:lang w:eastAsia="zh-CN" w:bidi="ar"/>
              </w:rPr>
              <w:t>“粤文坊”类</w:t>
            </w:r>
            <w:r>
              <w:rPr>
                <w:rFonts w:hint="eastAsia" w:ascii="仿宋_GB2312" w:hAnsi="宋体" w:eastAsia="仿宋_GB2312" w:cs="仿宋_GB2312"/>
                <w:color w:val="auto"/>
                <w:kern w:val="0"/>
                <w:sz w:val="24"/>
                <w:szCs w:val="24"/>
                <w:highlight w:val="none"/>
                <w:lang w:bidi="ar"/>
              </w:rPr>
              <w:t>公共文化空间建设和运行机制研究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color w:val="auto"/>
                <w:kern w:val="0"/>
                <w:sz w:val="24"/>
                <w:szCs w:val="24"/>
                <w:highlight w:val="none"/>
                <w:lang w:bidi="ar"/>
              </w:rPr>
              <w:t>广东省美术馆协会</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kern w:val="2"/>
                <w:sz w:val="24"/>
                <w:szCs w:val="40"/>
                <w:vertAlign w:val="baseline"/>
                <w:lang w:val="en-US" w:eastAsia="zh-CN" w:bidi="ar-SA"/>
              </w:rPr>
              <w:t>延期结项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27</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粤港澳大湾区公共文化共建共享机制研究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广东省社会科学院</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仿宋_GB2312" w:eastAsia="仿宋_GB2312" w:cs="仿宋_GB2312"/>
                <w:color w:val="auto"/>
                <w:sz w:val="24"/>
                <w:szCs w:val="40"/>
                <w:vertAlign w:val="baseline"/>
                <w:lang w:val="en-US" w:eastAsia="zh-CN"/>
              </w:rPr>
              <w:t>延期结项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28</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公共图书馆文献资源建设发展与研究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湛江市少年儿童图书馆</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延期结项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29</w:t>
            </w:r>
          </w:p>
        </w:tc>
        <w:tc>
          <w:tcPr>
            <w:tcW w:w="2937"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广东省内公共图书馆信息无障碍服务优化与供给研究</w:t>
            </w:r>
          </w:p>
        </w:tc>
        <w:tc>
          <w:tcPr>
            <w:tcW w:w="24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40"/>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南方医科大学</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延期结</w:t>
            </w:r>
            <w:bookmarkStart w:id="0" w:name="_GoBack"/>
            <w:bookmarkEnd w:id="0"/>
            <w:r>
              <w:rPr>
                <w:rFonts w:hint="eastAsia" w:ascii="仿宋_GB2312" w:hAnsi="仿宋_GB2312" w:eastAsia="仿宋_GB2312" w:cs="仿宋_GB2312"/>
                <w:color w:val="auto"/>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4"/>
                <w:szCs w:val="36"/>
                <w:lang w:val="en-US" w:eastAsia="zh-CN"/>
              </w:rPr>
            </w:pPr>
            <w:r>
              <w:rPr>
                <w:rFonts w:hint="eastAsia" w:ascii="仿宋_GB2312" w:hAnsi="仿宋_GB2312" w:eastAsia="仿宋_GB2312" w:cs="仿宋_GB2312"/>
                <w:color w:val="auto"/>
                <w:sz w:val="24"/>
                <w:szCs w:val="36"/>
                <w:lang w:val="en-US" w:eastAsia="zh-CN"/>
              </w:rPr>
              <w:t>30</w:t>
            </w:r>
          </w:p>
        </w:tc>
        <w:tc>
          <w:tcPr>
            <w:tcW w:w="293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color w:val="auto"/>
                <w:kern w:val="0"/>
                <w:sz w:val="24"/>
                <w:szCs w:val="24"/>
                <w:u w:val="none"/>
                <w:lang w:val="en-US" w:eastAsia="zh-CN" w:bidi="ar"/>
              </w:rPr>
              <w:t>乡村振兴中旅游公共服务创新实践研究：以韶关为例</w:t>
            </w:r>
          </w:p>
        </w:tc>
        <w:tc>
          <w:tcPr>
            <w:tcW w:w="242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color w:val="auto"/>
                <w:kern w:val="0"/>
                <w:sz w:val="24"/>
                <w:szCs w:val="24"/>
                <w:u w:val="none"/>
                <w:lang w:val="en-US" w:eastAsia="zh-CN" w:bidi="ar"/>
              </w:rPr>
              <w:t>广东工业大学</w:t>
            </w:r>
          </w:p>
        </w:tc>
        <w:tc>
          <w:tcPr>
            <w:tcW w:w="16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延期结项</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GZkNjg1NWQwODA0ZTQ5ZTY5Y2E5MTA5ZTQxMTUifQ=="/>
  </w:docVars>
  <w:rsids>
    <w:rsidRoot w:val="05593551"/>
    <w:rsid w:val="05593551"/>
    <w:rsid w:val="0AAA3137"/>
    <w:rsid w:val="5B4C4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2024-07-30T07:57:00Z</dcterms:created>
  <dc:creator>John</dc:creator>
  <cp:lastModifiedBy>车宝琴</cp:lastModifiedBy>
  <dcterms:modified xsi:type="dcterms:W3CDTF">2024-07-31T03:20:03Z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88827F5C752241579BADB7E35B815971_11</vt:lpwstr>
  </property>
</Properties>
</file>