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r>
        <w:rPr>
          <w:rFonts w:hint="eastAsia" w:ascii="黑体" w:hAnsi="黑体" w:eastAsia="黑体" w:cs="黑体"/>
          <w:color w:val="auto"/>
          <w:kern w:val="0"/>
          <w:sz w:val="32"/>
          <w:szCs w:val="32"/>
          <w:u w:val="none" w:color="auto"/>
          <w:lang w:val="en-US" w:eastAsia="zh-CN"/>
        </w:rPr>
        <w:t>附件3</w:t>
      </w:r>
    </w:p>
    <w:p>
      <w:pPr>
        <w:keepNext w:val="0"/>
        <w:keepLines w:val="0"/>
        <w:pageBreakBefore w:val="0"/>
        <w:widowControl w:val="0"/>
        <w:kinsoku/>
        <w:wordWrap/>
        <w:overflowPunct/>
        <w:topLinePunct w:val="0"/>
        <w:bidi w:val="0"/>
        <w:spacing w:line="600" w:lineRule="exact"/>
        <w:ind w:left="0" w:leftChars="0" w:right="0" w:rightChars="0"/>
        <w:jc w:val="center"/>
        <w:rPr>
          <w:rFonts w:hint="eastAsia" w:ascii="方正小标宋简体" w:hAnsi="方正小标宋简体" w:eastAsia="方正小标宋简体"/>
          <w:color w:val="auto"/>
          <w:kern w:val="0"/>
          <w:sz w:val="44"/>
          <w:szCs w:val="44"/>
          <w:lang w:val="en-US" w:eastAsia="zh-CN"/>
        </w:rPr>
      </w:pPr>
    </w:p>
    <w:p>
      <w:pPr>
        <w:keepNext w:val="0"/>
        <w:keepLines w:val="0"/>
        <w:pageBreakBefore w:val="0"/>
        <w:widowControl w:val="0"/>
        <w:kinsoku/>
        <w:wordWrap/>
        <w:overflowPunct/>
        <w:topLinePunct w:val="0"/>
        <w:bidi w:val="0"/>
        <w:spacing w:line="600" w:lineRule="exact"/>
        <w:ind w:left="0" w:leftChars="0" w:right="0" w:rightChars="0"/>
        <w:jc w:val="center"/>
        <w:rPr>
          <w:rFonts w:hint="eastAsia" w:ascii="方正小标宋简体" w:hAnsi="方正小标宋简体" w:eastAsia="方正小标宋简体"/>
          <w:color w:val="auto"/>
          <w:kern w:val="0"/>
          <w:sz w:val="44"/>
          <w:szCs w:val="44"/>
          <w:lang w:val="en-US" w:eastAsia="zh-CN"/>
        </w:rPr>
      </w:pPr>
      <w:r>
        <w:rPr>
          <w:rFonts w:hint="eastAsia" w:ascii="方正小标宋简体" w:hAnsi="方正小标宋简体" w:eastAsia="方正小标宋简体"/>
          <w:color w:val="auto"/>
          <w:kern w:val="0"/>
          <w:sz w:val="44"/>
          <w:szCs w:val="44"/>
          <w:lang w:val="en-US" w:eastAsia="zh-CN"/>
        </w:rPr>
        <w:t>娱乐场所恢复开放疫情防控措施指引</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贯彻落实习近平总书记关于统筹推进新冠肺炎疫情防控和经济社会发展工作的重要指示精神和《国务院应对新型冠状病毒感染肺炎疫情联防联控机制关于做好新冠肺炎疫情常态化防控工作的指导意见》(国发明电</w:t>
      </w:r>
      <w:r>
        <w:rPr>
          <w:rFonts w:hint="eastAsia" w:ascii="仿宋_GB2312" w:hAnsi="仿宋_GB2312" w:eastAsia="仿宋_GB2312" w:cs="仿宋_GB2312"/>
          <w:color w:val="auto"/>
          <w:kern w:val="0"/>
          <w:sz w:val="32"/>
          <w:szCs w:val="32"/>
          <w:lang w:val="zh-CN"/>
        </w:rPr>
        <w:t>〔2020〕</w:t>
      </w:r>
      <w:r>
        <w:rPr>
          <w:rFonts w:hint="eastAsia" w:ascii="仿宋_GB2312" w:hAnsi="仿宋_GB2312" w:eastAsia="仿宋_GB2312" w:cs="仿宋_GB2312"/>
          <w:color w:val="auto"/>
          <w:kern w:val="0"/>
          <w:sz w:val="32"/>
          <w:szCs w:val="32"/>
          <w:lang w:val="en-US" w:eastAsia="zh-CN"/>
        </w:rPr>
        <w:t>14号)、</w:t>
      </w:r>
      <w:r>
        <w:rPr>
          <w:rFonts w:hint="eastAsia" w:ascii="仿宋_GB2312" w:hAnsi="仿宋_GB2312" w:eastAsia="仿宋_GB2312" w:cs="仿宋_GB2312"/>
          <w:color w:val="auto"/>
          <w:kern w:val="0"/>
          <w:sz w:val="32"/>
          <w:szCs w:val="32"/>
        </w:rPr>
        <w:t>《广东省新型冠状病毒肺炎疫情防控指挥部关于做好新冠肺炎疫情常态化防控工作的实施意见》（粤防疫指明电〔2020〕19号）</w:t>
      </w:r>
      <w:r>
        <w:rPr>
          <w:rFonts w:hint="eastAsia" w:ascii="仿宋_GB2312" w:hAnsi="仿宋_GB2312" w:eastAsia="仿宋_GB2312" w:cs="仿宋_GB2312"/>
          <w:color w:val="auto"/>
          <w:kern w:val="0"/>
          <w:sz w:val="32"/>
          <w:szCs w:val="32"/>
          <w:lang w:val="en-US" w:eastAsia="zh-CN"/>
        </w:rPr>
        <w:t>要求，有序推进娱乐场所恢复开放，根据</w:t>
      </w:r>
      <w:r>
        <w:rPr>
          <w:rFonts w:hint="eastAsia" w:ascii="仿宋_GB2312" w:hAnsi="Calibri" w:eastAsia="仿宋_GB2312" w:cs="仿宋_GB2312"/>
          <w:b w:val="0"/>
          <w:i w:val="0"/>
          <w:color w:val="auto"/>
          <w:kern w:val="0"/>
          <w:sz w:val="32"/>
          <w:szCs w:val="32"/>
          <w:shd w:val="clear" w:color="auto" w:fill="FFFFFF"/>
          <w:lang w:val="en-US" w:eastAsia="zh-CN" w:bidi="ar"/>
        </w:rPr>
        <w:t>文化和旅游部有关工作</w:t>
      </w:r>
      <w:r>
        <w:rPr>
          <w:rFonts w:hint="eastAsia" w:ascii="仿宋_GB2312" w:eastAsia="仿宋_GB2312" w:cs="仿宋_GB2312"/>
          <w:b w:val="0"/>
          <w:i w:val="0"/>
          <w:color w:val="auto"/>
          <w:kern w:val="0"/>
          <w:sz w:val="32"/>
          <w:szCs w:val="32"/>
          <w:shd w:val="clear" w:color="auto" w:fill="FFFFFF"/>
          <w:lang w:val="en-US" w:eastAsia="zh-CN" w:bidi="ar"/>
        </w:rPr>
        <w:t>指南</w:t>
      </w:r>
      <w:r>
        <w:rPr>
          <w:rFonts w:hint="eastAsia" w:ascii="仿宋_GB2312" w:hAnsi="Calibri" w:eastAsia="仿宋_GB2312" w:cs="仿宋_GB2312"/>
          <w:b w:val="0"/>
          <w:i w:val="0"/>
          <w:color w:val="auto"/>
          <w:kern w:val="0"/>
          <w:sz w:val="32"/>
          <w:szCs w:val="32"/>
          <w:shd w:val="clear" w:color="auto" w:fill="FFFFFF"/>
          <w:lang w:val="en-US" w:eastAsia="zh-CN" w:bidi="ar"/>
        </w:rPr>
        <w:t>及省疫情防控指挥部有关疫情防控工作要求，结合我省实际，</w:t>
      </w:r>
      <w:r>
        <w:rPr>
          <w:rFonts w:hint="eastAsia" w:ascii="仿宋_GB2312" w:hAnsi="仿宋_GB2312" w:eastAsia="仿宋_GB2312" w:cs="仿宋_GB2312"/>
          <w:color w:val="auto"/>
          <w:kern w:val="0"/>
          <w:sz w:val="32"/>
          <w:szCs w:val="32"/>
          <w:lang w:val="en-US" w:eastAsia="zh-CN"/>
        </w:rPr>
        <w:t>制定本指引。</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一、总体要求</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一</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坚持常态防控。</w:t>
      </w:r>
      <w:r>
        <w:rPr>
          <w:rFonts w:hint="eastAsia" w:ascii="仿宋_GB2312" w:hAnsi="仿宋_GB2312" w:eastAsia="仿宋_GB2312" w:cs="仿宋_GB2312"/>
          <w:color w:val="auto"/>
          <w:kern w:val="0"/>
          <w:sz w:val="32"/>
          <w:szCs w:val="32"/>
          <w:lang w:val="en-US" w:eastAsia="zh-CN"/>
        </w:rPr>
        <w:t>各地文化和旅游行政部门应当按照“属地原则”，严格遵守当地疫情防控指挥部门的要求，结合本地区实际情况，毫不放松抓紧抓实抓细各项防控工作，制定包含娱乐场所在内的疫情防控方案和应急预案，并</w:t>
      </w:r>
      <w:r>
        <w:rPr>
          <w:rFonts w:hint="eastAsia" w:ascii="仿宋_GB2312" w:hAnsi="仿宋_GB2312" w:eastAsia="仿宋_GB2312" w:cs="仿宋_GB2312"/>
          <w:color w:val="auto"/>
          <w:kern w:val="0"/>
          <w:sz w:val="32"/>
          <w:szCs w:val="32"/>
        </w:rPr>
        <w:t>根据国家及省最新分区分级精准管控要求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及时进行动态调整，确保安全。</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二</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坚持有序开放。</w:t>
      </w:r>
      <w:r>
        <w:rPr>
          <w:rFonts w:hint="eastAsia" w:ascii="仿宋_GB2312" w:hAnsi="仿宋_GB2312" w:eastAsia="仿宋_GB2312" w:cs="仿宋_GB2312"/>
          <w:color w:val="auto"/>
          <w:kern w:val="0"/>
          <w:sz w:val="32"/>
          <w:szCs w:val="32"/>
          <w:lang w:val="en-US" w:eastAsia="zh-CN"/>
        </w:rPr>
        <w:t>在充分做好防疫措施的情况下，各地应当严格按照属地党委、政府统一部署，以县域为单位，分区分级，确定娱乐场所恢复开放时间和具体要求。疫情中高风险地区、疫情风险具有较大不确定性地区和境外输入压力较大地区，应当从严、审慎把控恢复开放时间。</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三</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坚持预约限流。</w:t>
      </w:r>
      <w:r>
        <w:rPr>
          <w:rFonts w:hint="eastAsia" w:ascii="仿宋_GB2312" w:hAnsi="仿宋_GB2312" w:eastAsia="仿宋_GB2312" w:cs="仿宋_GB2312"/>
          <w:color w:val="auto"/>
          <w:kern w:val="0"/>
          <w:sz w:val="32"/>
          <w:szCs w:val="32"/>
          <w:lang w:val="en-US" w:eastAsia="zh-CN"/>
        </w:rPr>
        <w:t>恢复开放的娱乐场所应当</w:t>
      </w:r>
      <w:r>
        <w:rPr>
          <w:rFonts w:hint="eastAsia" w:ascii="仿宋_GB2312" w:hAnsi="仿宋_GB2312" w:eastAsia="仿宋_GB2312" w:cs="仿宋_GB2312"/>
          <w:color w:val="auto"/>
          <w:kern w:val="0"/>
          <w:sz w:val="32"/>
          <w:szCs w:val="32"/>
          <w:lang w:val="zh-CN"/>
        </w:rPr>
        <w:t>用</w:t>
      </w:r>
      <w:r>
        <w:rPr>
          <w:rFonts w:hint="eastAsia" w:ascii="仿宋_GB2312" w:hAnsi="仿宋_GB2312" w:eastAsia="仿宋_GB2312" w:cs="仿宋_GB2312"/>
          <w:color w:val="auto"/>
          <w:kern w:val="0"/>
          <w:sz w:val="32"/>
          <w:szCs w:val="32"/>
          <w:lang w:val="en-US" w:eastAsia="zh-CN"/>
        </w:rPr>
        <w:t>中英文告知公众防控管理要求，严格执行人员限流限量措施，实行预约消费、错峰入场等措施，并对场所内消费者数量实行动态监控，防范聚集性风险。</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二、消费者保护</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四</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落实戴口罩、检测登记制度。</w:t>
      </w:r>
      <w:r>
        <w:rPr>
          <w:rFonts w:hint="eastAsia" w:ascii="仿宋_GB2312" w:hAnsi="仿宋_GB2312" w:eastAsia="仿宋_GB2312" w:cs="仿宋_GB2312"/>
          <w:color w:val="auto"/>
          <w:kern w:val="0"/>
          <w:sz w:val="32"/>
          <w:szCs w:val="32"/>
          <w:lang w:val="en-US" w:eastAsia="zh-CN"/>
        </w:rPr>
        <w:t>娱乐场所</w:t>
      </w:r>
      <w:r>
        <w:rPr>
          <w:rFonts w:hint="eastAsia" w:ascii="仿宋_GB2312" w:hAnsi="仿宋_GB2312" w:eastAsia="仿宋_GB2312" w:cs="仿宋_GB2312"/>
          <w:color w:val="auto"/>
          <w:kern w:val="0"/>
          <w:sz w:val="32"/>
          <w:szCs w:val="32"/>
        </w:rPr>
        <w:t>应当配备测量体温设施设备，并安排专人值守，在入口处对消费者进行体温检测，</w:t>
      </w:r>
      <w:r>
        <w:rPr>
          <w:rFonts w:hint="eastAsia" w:ascii="仿宋_GB2312" w:hAnsi="仿宋_GB2312" w:eastAsia="仿宋_GB2312" w:cs="仿宋_GB2312"/>
          <w:color w:val="auto"/>
          <w:kern w:val="0"/>
          <w:sz w:val="32"/>
          <w:szCs w:val="32"/>
          <w:lang w:val="en-US" w:eastAsia="zh-CN"/>
        </w:rPr>
        <w:t>扫描“健康码”（注：如粤康码、穗康码或其他已与我省互认的“健康码”）</w:t>
      </w:r>
      <w:r>
        <w:rPr>
          <w:rFonts w:hint="eastAsia" w:ascii="仿宋_GB2312" w:hAnsi="仿宋_GB2312" w:eastAsia="仿宋_GB2312" w:cs="仿宋_GB2312"/>
          <w:color w:val="auto"/>
          <w:kern w:val="0"/>
          <w:sz w:val="32"/>
          <w:szCs w:val="32"/>
        </w:rPr>
        <w:t>。如发现体温异常（≥37.3℃）或健康码为红码、黄码的顾客，应当礼貌劝阻其进入，并提醒其前往就近的发热门诊就诊。对无法出示健康码的人员，可凭7日内核酸检测结果阴性证明，或7日内解除隔离医学观察通知书，或有效身份证明做好个人信息登记，且体温检测正常后方可进入。</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五</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实施预约限流措施。</w:t>
      </w:r>
      <w:r>
        <w:rPr>
          <w:rFonts w:hint="eastAsia" w:ascii="仿宋_GB2312" w:hAnsi="仿宋_GB2312" w:eastAsia="仿宋_GB2312" w:cs="仿宋_GB2312"/>
          <w:color w:val="auto"/>
          <w:kern w:val="0"/>
          <w:sz w:val="32"/>
          <w:szCs w:val="32"/>
          <w:lang w:val="en-US" w:eastAsia="zh-CN"/>
        </w:rPr>
        <w:t>娱乐场所应当采取预约消费、错峰入场等措施，对消费者进行限流限量。歌舞娱乐场所接纳消费者人数不得超过核定人数的50%,每个包间接纳消费者人数也不得超过核定人数的50%;游艺娱乐场所内接纳消费者人数不得超过核定人数的50%。</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en-US"/>
        </w:rPr>
        <w:t>（</w:t>
      </w:r>
      <w:r>
        <w:rPr>
          <w:rFonts w:hint="eastAsia" w:ascii="楷体_GB2312" w:eastAsia="楷体_GB2312"/>
          <w:color w:val="auto"/>
          <w:kern w:val="0"/>
          <w:sz w:val="32"/>
          <w:szCs w:val="32"/>
          <w:lang w:val="en-US" w:eastAsia="zh-CN"/>
        </w:rPr>
        <w:t>六</w:t>
      </w:r>
      <w:r>
        <w:rPr>
          <w:rFonts w:hint="eastAsia" w:ascii="楷体_GB2312" w:eastAsia="楷体_GB2312"/>
          <w:color w:val="auto"/>
          <w:kern w:val="0"/>
          <w:sz w:val="32"/>
          <w:szCs w:val="32"/>
          <w:lang w:val="en-US"/>
        </w:rPr>
        <w:t>）</w:t>
      </w:r>
      <w:r>
        <w:rPr>
          <w:rFonts w:hint="eastAsia" w:ascii="楷体_GB2312" w:eastAsia="楷体_GB2312"/>
          <w:color w:val="auto"/>
          <w:kern w:val="0"/>
          <w:sz w:val="32"/>
          <w:szCs w:val="32"/>
          <w:lang w:val="en-US" w:eastAsia="zh-CN"/>
        </w:rPr>
        <w:t>建立值守制度。</w:t>
      </w:r>
      <w:r>
        <w:rPr>
          <w:rFonts w:hint="eastAsia" w:ascii="仿宋_GB2312" w:hAnsi="仿宋_GB2312" w:eastAsia="仿宋_GB2312" w:cs="仿宋_GB2312"/>
          <w:color w:val="auto"/>
          <w:kern w:val="0"/>
          <w:sz w:val="32"/>
          <w:szCs w:val="32"/>
          <w:lang w:val="en-US" w:eastAsia="zh-CN"/>
        </w:rPr>
        <w:t>娱乐场所应当安排专人监督进入场所的员工和消费者遵守相关防疫要求，及时对消费者进行疏导、分流，避免人群聚集，保持安全社交距离。</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三、场所防控管理</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七</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落实防控主体责任。</w:t>
      </w:r>
      <w:r>
        <w:rPr>
          <w:rFonts w:hint="eastAsia" w:ascii="仿宋_GB2312" w:hAnsi="仿宋_GB2312" w:eastAsia="仿宋_GB2312" w:cs="仿宋_GB2312"/>
          <w:color w:val="auto"/>
          <w:kern w:val="0"/>
          <w:sz w:val="32"/>
          <w:szCs w:val="32"/>
          <w:lang w:val="en-US" w:eastAsia="zh-CN"/>
        </w:rPr>
        <w:t>娱乐场所应当落实防控主体责任，严格执行疫情防控规定，制定本场所防控工作制度和应急预案,把防控责任落实到具体个人。</w:t>
      </w:r>
      <w:r>
        <w:rPr>
          <w:rFonts w:hint="eastAsia" w:ascii="仿宋_GB2312" w:hAnsi="仿宋_GB2312" w:eastAsia="仿宋_GB2312" w:cs="仿宋_GB2312"/>
          <w:color w:val="auto"/>
          <w:kern w:val="0"/>
          <w:sz w:val="32"/>
          <w:szCs w:val="32"/>
          <w:lang w:eastAsia="zh-CN"/>
        </w:rPr>
        <w:t>恢复开放的场所</w:t>
      </w:r>
      <w:r>
        <w:rPr>
          <w:rFonts w:hint="eastAsia" w:ascii="仿宋_GB2312" w:hAnsi="仿宋_GB2312" w:eastAsia="仿宋_GB2312" w:cs="仿宋_GB2312"/>
          <w:color w:val="auto"/>
          <w:kern w:val="0"/>
          <w:sz w:val="32"/>
          <w:szCs w:val="32"/>
        </w:rPr>
        <w:t>应</w:t>
      </w:r>
      <w:r>
        <w:rPr>
          <w:rFonts w:hint="eastAsia" w:ascii="仿宋_GB2312" w:hAnsi="仿宋_GB2312" w:eastAsia="仿宋_GB2312" w:cs="仿宋_GB2312"/>
          <w:color w:val="auto"/>
          <w:kern w:val="0"/>
          <w:sz w:val="32"/>
          <w:szCs w:val="32"/>
          <w:lang w:eastAsia="zh-CN"/>
        </w:rPr>
        <w:t>设立</w:t>
      </w:r>
      <w:r>
        <w:rPr>
          <w:rFonts w:hint="eastAsia" w:ascii="仿宋_GB2312" w:hAnsi="仿宋_GB2312" w:eastAsia="仿宋_GB2312" w:cs="仿宋_GB2312"/>
          <w:color w:val="auto"/>
          <w:kern w:val="0"/>
          <w:sz w:val="32"/>
          <w:szCs w:val="32"/>
        </w:rPr>
        <w:t>防控工作组织或健康管理员</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设置应急处置区域</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八</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加强消毒通风。</w:t>
      </w:r>
      <w:r>
        <w:rPr>
          <w:rFonts w:hint="eastAsia" w:ascii="仿宋_GB2312" w:hAnsi="仿宋_GB2312" w:eastAsia="仿宋_GB2312" w:cs="仿宋_GB2312"/>
          <w:color w:val="auto"/>
          <w:kern w:val="0"/>
          <w:sz w:val="32"/>
          <w:szCs w:val="32"/>
          <w:lang w:val="en-US" w:eastAsia="zh-CN"/>
        </w:rPr>
        <w:t>娱乐场所每日营业前，应当对场所内外公共部位（</w:t>
      </w:r>
      <w:r>
        <w:rPr>
          <w:rFonts w:hint="eastAsia" w:ascii="仿宋_GB2312" w:hAnsi="仿宋_GB2312" w:eastAsia="仿宋_GB2312" w:cs="仿宋_GB2312"/>
          <w:color w:val="auto"/>
          <w:kern w:val="0"/>
          <w:sz w:val="32"/>
          <w:szCs w:val="32"/>
        </w:rPr>
        <w:t>如公共卫生间、地下停车场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空调、电梯/扶梯</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lang w:val="en-US" w:eastAsia="zh-CN"/>
        </w:rPr>
        <w:t>）进行全面消毒清洁。歌舞娱乐场所应当及时对消费者使用过的麦克风、点歌按钮、屏幕、座位桌台等设备消毒或更换;游艺娱乐场所应当及时对消费者使用过的设备按键、摇杆、代币及相关附属设备进行消毒或更换，做到“使用一次消毒一次”。</w:t>
      </w:r>
      <w:r>
        <w:rPr>
          <w:rFonts w:hint="eastAsia" w:ascii="仿宋_GB2312" w:hAnsi="仿宋_GB2312" w:eastAsia="仿宋_GB2312" w:cs="仿宋_GB2312"/>
          <w:color w:val="auto"/>
          <w:kern w:val="0"/>
          <w:sz w:val="32"/>
          <w:szCs w:val="32"/>
        </w:rPr>
        <w:t>场所优先选择自然通风，无法做到的应利用排风扇等装置加强机械通风，如使用空调系统，要保证充足的新风输入，以上通风要求如无法保证的场所暂不开放。</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九</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配备防护物资。</w:t>
      </w:r>
      <w:r>
        <w:rPr>
          <w:rFonts w:hint="eastAsia" w:ascii="仿宋_GB2312" w:hAnsi="仿宋_GB2312" w:eastAsia="仿宋_GB2312" w:cs="仿宋_GB2312"/>
          <w:color w:val="auto"/>
          <w:kern w:val="0"/>
          <w:sz w:val="32"/>
          <w:szCs w:val="32"/>
          <w:lang w:val="en-US" w:eastAsia="zh-CN"/>
        </w:rPr>
        <w:t>娱乐场所应当配备口罩、手套、洗手液、医用酒精、免洗手消毒剂、消毒湿巾等防护物资，在公共休息区、洗手间等区域配备洗手液、医用酒精等消毒物品，便于消费者和员工随时消毒清洁。</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十</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加强疫情防控知识宣传。</w:t>
      </w:r>
      <w:r>
        <w:rPr>
          <w:rFonts w:hint="eastAsia" w:ascii="仿宋_GB2312" w:hAnsi="仿宋_GB2312" w:eastAsia="仿宋_GB2312" w:cs="仿宋_GB2312"/>
          <w:color w:val="auto"/>
          <w:kern w:val="0"/>
          <w:sz w:val="32"/>
          <w:szCs w:val="32"/>
          <w:lang w:val="en-US" w:eastAsia="zh-CN"/>
        </w:rPr>
        <w:t>娱乐场所要利用官方网站、微信公众号、提示牌、电子显示屏等多种渠道，及时宣传疫情期间场所运营规则及防控知识,提升员工及消费者的疫情防控意识。</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十一</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排查消防隐患。</w:t>
      </w:r>
      <w:r>
        <w:rPr>
          <w:rFonts w:hint="eastAsia" w:ascii="仿宋_GB2312" w:hAnsi="仿宋_GB2312" w:eastAsia="仿宋_GB2312" w:cs="仿宋_GB2312"/>
          <w:color w:val="auto"/>
          <w:kern w:val="0"/>
          <w:sz w:val="32"/>
          <w:szCs w:val="32"/>
          <w:lang w:val="en-US" w:eastAsia="zh-CN"/>
        </w:rPr>
        <w:t>娱乐场所恢复营业前应当积极配合有关部门，全面排查火灾等消防安全隐患，并按照《文化部关于落实安全生产责任加强文化市场安全生产工作的通知》(文市发〔2017〕5号)有关规定，加强场所日常检查，不符合安全条件的立整立改。</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四、员工健康管理</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十二</w:t>
      </w:r>
      <w:r>
        <w:rPr>
          <w:rFonts w:hint="eastAsia" w:ascii="楷体_GB2312" w:eastAsia="楷体_GB2312"/>
          <w:color w:val="auto"/>
          <w:kern w:val="0"/>
          <w:sz w:val="32"/>
          <w:szCs w:val="32"/>
          <w:lang w:val="zh-CN"/>
        </w:rPr>
        <w:t>）</w:t>
      </w:r>
      <w:r>
        <w:rPr>
          <w:rFonts w:hint="eastAsia" w:ascii="楷体_GB2312" w:eastAsia="楷体_GB2312"/>
          <w:color w:val="auto"/>
          <w:kern w:val="0"/>
          <w:sz w:val="32"/>
          <w:szCs w:val="32"/>
          <w:lang w:val="en-US" w:eastAsia="zh-CN"/>
        </w:rPr>
        <w:t>做好员工健康监测。</w:t>
      </w:r>
      <w:r>
        <w:rPr>
          <w:rFonts w:hint="eastAsia" w:ascii="仿宋_GB2312" w:hAnsi="仿宋_GB2312" w:eastAsia="仿宋_GB2312" w:cs="仿宋_GB2312"/>
          <w:color w:val="auto"/>
          <w:kern w:val="0"/>
          <w:sz w:val="32"/>
          <w:szCs w:val="32"/>
          <w:lang w:val="en-US" w:eastAsia="zh-CN"/>
        </w:rPr>
        <w:t>做好员工健康管理，掌握员工出行轨迹等情况。员工. 上班须佩戴口罩，进行体温检测和健康询问</w:t>
      </w:r>
      <w:bookmarkStart w:id="0" w:name="_GoBack"/>
      <w:bookmarkEnd w:id="0"/>
      <w:r>
        <w:rPr>
          <w:rFonts w:hint="eastAsia" w:ascii="仿宋_GB2312" w:hAnsi="仿宋_GB2312" w:eastAsia="仿宋_GB2312" w:cs="仿宋_GB2312"/>
          <w:color w:val="auto"/>
          <w:kern w:val="0"/>
          <w:sz w:val="32"/>
          <w:szCs w:val="32"/>
          <w:lang w:val="en-US" w:eastAsia="zh-CN"/>
        </w:rPr>
        <w:t>，出现发热、呼吸道症状时，应及时报告并立即就医。</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en-US" w:eastAsia="zh-CN"/>
        </w:rPr>
        <w:t>（十三）减少员工聚集。</w:t>
      </w:r>
      <w:r>
        <w:rPr>
          <w:rFonts w:hint="eastAsia" w:ascii="仿宋_GB2312" w:hAnsi="仿宋_GB2312" w:eastAsia="仿宋_GB2312" w:cs="仿宋_GB2312"/>
          <w:color w:val="auto"/>
          <w:kern w:val="0"/>
          <w:sz w:val="32"/>
          <w:szCs w:val="32"/>
          <w:lang w:val="en-US" w:eastAsia="zh-CN"/>
        </w:rPr>
        <w:t>加强员工用餐管理，鼓励实行错峰就餐、分散用餐;科学管理工作会议;员工应当减少不必要外出,尽量避开密集人群，避免在公共场所长时间停留。</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en-US" w:eastAsia="zh-CN"/>
        </w:rPr>
        <w:t>（十四）指导员工做好个人防护。</w:t>
      </w:r>
      <w:r>
        <w:rPr>
          <w:rFonts w:hint="eastAsia" w:ascii="仿宋_GB2312" w:hAnsi="仿宋_GB2312" w:eastAsia="仿宋_GB2312" w:cs="仿宋_GB2312"/>
          <w:color w:val="auto"/>
          <w:kern w:val="0"/>
          <w:sz w:val="32"/>
          <w:szCs w:val="32"/>
          <w:lang w:val="en-US" w:eastAsia="zh-CN"/>
        </w:rPr>
        <w:t>组织对员工进行岗前培训,掌握常态化防控下的防护知识。养成勤洗手、戴口罩、公筷制等卫生习惯和健康生活方式。</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五、异常情况处置</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en-US" w:eastAsia="zh-CN"/>
        </w:rPr>
        <w:t>（十五）建立沟通机制。</w:t>
      </w:r>
      <w:r>
        <w:rPr>
          <w:rFonts w:hint="eastAsia" w:ascii="仿宋_GB2312" w:hAnsi="仿宋_GB2312" w:eastAsia="仿宋_GB2312" w:cs="仿宋_GB2312"/>
          <w:color w:val="auto"/>
          <w:kern w:val="0"/>
          <w:sz w:val="32"/>
          <w:szCs w:val="32"/>
          <w:lang w:val="en-US" w:eastAsia="zh-CN"/>
        </w:rPr>
        <w:t>娱乐场所应当建立疫情应急沟通机制，畅通疫情上报通道，发现疫情应当及时向政府有关部门报告。</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en-US" w:eastAsia="zh-CN"/>
        </w:rPr>
        <w:t>（十六）做好发现疫情时的应对处置。</w:t>
      </w:r>
      <w:r>
        <w:rPr>
          <w:rFonts w:hint="eastAsia" w:ascii="仿宋_GB2312" w:hAnsi="仿宋_GB2312" w:eastAsia="仿宋_GB2312" w:cs="仿宋_GB2312"/>
          <w:color w:val="auto"/>
          <w:kern w:val="0"/>
          <w:sz w:val="32"/>
          <w:szCs w:val="32"/>
          <w:lang w:val="en-US" w:eastAsia="zh-CN"/>
        </w:rPr>
        <w:t>娱乐场所如出现疫情疑似症状，应当立即启动应急预案，做好现场管理，避免恐慌，配合卫生健康部门采取隔离措施，做好清洁消毒等工作并暂时关闭场所。</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六、保障措施</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en-US" w:eastAsia="zh-CN"/>
        </w:rPr>
        <w:t>（十七）加强组织领导。</w:t>
      </w:r>
      <w:r>
        <w:rPr>
          <w:rFonts w:hint="eastAsia" w:ascii="仿宋_GB2312" w:hAnsi="仿宋_GB2312" w:eastAsia="仿宋_GB2312" w:cs="仿宋_GB2312"/>
          <w:color w:val="auto"/>
          <w:kern w:val="0"/>
          <w:sz w:val="32"/>
          <w:szCs w:val="32"/>
          <w:lang w:val="en-US" w:eastAsia="zh-CN"/>
        </w:rPr>
        <w:t>各地文化和旅游行政部门要严格落实属地管理责任，提升防控和应急处置能力，加强与当地卫生健康部门之间的联动，确保恢复开放工作平稳有序。</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en-US" w:eastAsia="zh-CN"/>
        </w:rPr>
        <w:t>（十八）加强监督检查。</w:t>
      </w:r>
      <w:r>
        <w:rPr>
          <w:rFonts w:hint="eastAsia" w:ascii="仿宋_GB2312" w:hAnsi="仿宋_GB2312" w:eastAsia="仿宋_GB2312" w:cs="仿宋_GB2312"/>
          <w:color w:val="auto"/>
          <w:kern w:val="0"/>
          <w:sz w:val="32"/>
          <w:szCs w:val="32"/>
          <w:lang w:val="en-US" w:eastAsia="zh-CN"/>
        </w:rPr>
        <w:t>各地文化和旅游行政部门要加强对恢复开放的娱乐场所的巡查和监管力度，依法依规查处违法经营行为，切实保障消费者合法权益，维护市场经营秩序。</w:t>
      </w:r>
    </w:p>
    <w:p>
      <w:pPr>
        <w:keepNext w:val="0"/>
        <w:keepLines w:val="0"/>
        <w:pageBreakBefore w:val="0"/>
        <w:widowControl w:val="0"/>
        <w:kinsoku/>
        <w:wordWrap/>
        <w:overflowPunct/>
        <w:topLinePunct w:val="0"/>
        <w:bidi w:val="0"/>
        <w:spacing w:line="600" w:lineRule="exact"/>
        <w:ind w:left="0" w:leftChars="0" w:right="0" w:rightChars="0" w:firstLine="640"/>
        <w:rPr>
          <w:rFonts w:hint="eastAsia" w:ascii="仿宋_GB2312" w:hAnsi="仿宋_GB2312" w:eastAsia="仿宋_GB2312" w:cs="仿宋_GB2312"/>
          <w:color w:val="auto"/>
          <w:kern w:val="0"/>
          <w:sz w:val="32"/>
          <w:szCs w:val="32"/>
          <w:lang w:val="en-US" w:eastAsia="zh-CN"/>
        </w:rPr>
      </w:pPr>
      <w:r>
        <w:rPr>
          <w:rFonts w:hint="eastAsia" w:ascii="楷体_GB2312" w:eastAsia="楷体_GB2312"/>
          <w:color w:val="auto"/>
          <w:kern w:val="0"/>
          <w:sz w:val="32"/>
          <w:szCs w:val="32"/>
          <w:lang w:val="en-US" w:eastAsia="zh-CN"/>
        </w:rPr>
        <w:t>（十九）加强应急管理。</w:t>
      </w:r>
      <w:r>
        <w:rPr>
          <w:rFonts w:hint="eastAsia" w:ascii="仿宋_GB2312" w:hAnsi="仿宋_GB2312" w:eastAsia="仿宋_GB2312" w:cs="仿宋_GB2312"/>
          <w:color w:val="auto"/>
          <w:kern w:val="0"/>
          <w:sz w:val="32"/>
          <w:szCs w:val="32"/>
          <w:lang w:val="en-US" w:eastAsia="zh-CN"/>
        </w:rPr>
        <w:t>各地文化和旅游行政部门要按照应急预案，明确疫情防控、安全突发事件应急措施和处置流程，开展排查、评估和宣传培训工作，及时发现隐患苗头，及时处置，发生异常情况及时上报并暂时关闭场所。</w:t>
      </w:r>
    </w:p>
    <w:p>
      <w:pPr>
        <w:pStyle w:val="2"/>
        <w:rPr>
          <w:rFonts w:hint="eastAsia" w:ascii="仿宋_GB2312" w:hAnsi="仿宋_GB2312" w:eastAsia="仿宋_GB2312" w:cs="仿宋_GB2312"/>
          <w:color w:val="auto"/>
          <w:kern w:val="0"/>
          <w:sz w:val="32"/>
          <w:szCs w:val="32"/>
          <w:lang w:val="en-US" w:eastAsia="zh-CN"/>
        </w:rPr>
      </w:pPr>
    </w:p>
    <w:p>
      <w:pPr>
        <w:rPr>
          <w:rFonts w:hint="eastAsia" w:ascii="仿宋_GB2312" w:hAnsi="仿宋_GB2312" w:eastAsia="仿宋_GB2312" w:cs="仿宋_GB2312"/>
          <w:color w:val="auto"/>
          <w:kern w:val="0"/>
          <w:sz w:val="32"/>
          <w:szCs w:val="32"/>
          <w:lang w:val="en-US" w:eastAsia="zh-CN"/>
        </w:rPr>
      </w:pPr>
    </w:p>
    <w:p>
      <w:pPr>
        <w:pStyle w:val="2"/>
        <w:rPr>
          <w:rFonts w:hint="eastAsia" w:ascii="仿宋_GB2312" w:hAnsi="仿宋_GB2312" w:eastAsia="仿宋_GB2312" w:cs="仿宋_GB2312"/>
          <w:color w:val="auto"/>
          <w:kern w:val="0"/>
          <w:sz w:val="32"/>
          <w:szCs w:val="32"/>
          <w:lang w:val="en-US" w:eastAsia="zh-CN"/>
        </w:rPr>
      </w:pPr>
    </w:p>
    <w:p>
      <w:pPr>
        <w:rPr>
          <w:rFonts w:hint="eastAsia" w:ascii="仿宋_GB2312" w:hAnsi="仿宋_GB2312" w:eastAsia="仿宋_GB2312" w:cs="仿宋_GB2312"/>
          <w:color w:val="auto"/>
          <w:kern w:val="0"/>
          <w:sz w:val="32"/>
          <w:szCs w:val="32"/>
          <w:lang w:val="en-US" w:eastAsia="zh-CN"/>
        </w:rPr>
      </w:pPr>
    </w:p>
    <w:p>
      <w:pPr>
        <w:pStyle w:val="2"/>
        <w:rPr>
          <w:rFonts w:hint="eastAsia" w:ascii="仿宋_GB2312" w:hAnsi="仿宋_GB2312" w:eastAsia="仿宋_GB2312" w:cs="仿宋_GB2312"/>
          <w:color w:val="auto"/>
          <w:kern w:val="0"/>
          <w:sz w:val="32"/>
          <w:szCs w:val="32"/>
          <w:lang w:val="en-US" w:eastAsia="zh-CN"/>
        </w:rPr>
      </w:pPr>
    </w:p>
    <w:p>
      <w:pPr>
        <w:rPr>
          <w:rFonts w:hint="eastAsia" w:ascii="仿宋_GB2312" w:hAnsi="仿宋_GB2312" w:eastAsia="仿宋_GB2312" w:cs="仿宋_GB2312"/>
          <w:color w:val="auto"/>
          <w:kern w:val="0"/>
          <w:sz w:val="32"/>
          <w:szCs w:val="32"/>
          <w:lang w:val="en-US" w:eastAsia="zh-CN"/>
        </w:rPr>
      </w:pPr>
    </w:p>
    <w:p>
      <w:pPr>
        <w:pStyle w:val="2"/>
        <w:rPr>
          <w:rFonts w:hint="eastAsia" w:ascii="仿宋_GB2312" w:hAnsi="仿宋_GB2312" w:eastAsia="仿宋_GB2312" w:cs="仿宋_GB2312"/>
          <w:color w:val="auto"/>
          <w:kern w:val="0"/>
          <w:sz w:val="32"/>
          <w:szCs w:val="32"/>
          <w:lang w:val="en-US" w:eastAsia="zh-CN"/>
        </w:rPr>
      </w:pPr>
    </w:p>
    <w:p>
      <w:pPr>
        <w:rPr>
          <w:rFonts w:hint="eastAsia" w:ascii="仿宋_GB2312" w:hAnsi="仿宋_GB2312" w:eastAsia="仿宋_GB2312" w:cs="仿宋_GB2312"/>
          <w:color w:val="auto"/>
          <w:kern w:val="0"/>
          <w:sz w:val="32"/>
          <w:szCs w:val="32"/>
          <w:lang w:val="en-US" w:eastAsia="zh-CN"/>
        </w:rPr>
      </w:pPr>
    </w:p>
    <w:p>
      <w:pPr>
        <w:pStyle w:val="2"/>
        <w:rPr>
          <w:rFonts w:hint="eastAsia" w:ascii="仿宋_GB2312" w:hAnsi="仿宋_GB2312" w:eastAsia="仿宋_GB2312" w:cs="仿宋_GB2312"/>
          <w:color w:val="auto"/>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D27E7"/>
    <w:rsid w:val="0FBD27E7"/>
    <w:rsid w:val="514E16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Body Text Indent"/>
    <w:basedOn w:val="1"/>
    <w:uiPriority w:val="0"/>
    <w:pPr>
      <w:ind w:firstLine="4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2020-05-18T08:17:00Z</dcterms:created>
  <dc:creator>陈俊宇</dc:creator>
  <cp:lastModifiedBy>信息科（俞启明）</cp:lastModifiedBy>
  <dcterms:modified xsi:type="dcterms:W3CDTF">2021-03-26T09:29:55Z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