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2D" w:rsidRDefault="006B192D" w:rsidP="006B192D">
      <w:pPr>
        <w:jc w:val="center"/>
        <w:rPr>
          <w:rFonts w:eastAsia="黑体"/>
          <w:sz w:val="52"/>
          <w:szCs w:val="52"/>
        </w:rPr>
      </w:pPr>
    </w:p>
    <w:p w:rsidR="006B192D" w:rsidRDefault="006B192D" w:rsidP="006B192D">
      <w:pPr>
        <w:jc w:val="center"/>
        <w:rPr>
          <w:rFonts w:eastAsia="黑体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国家文化和旅游消费试点城市</w:t>
      </w:r>
    </w:p>
    <w:p w:rsidR="006B192D" w:rsidRDefault="006B192D" w:rsidP="006B192D">
      <w:pPr>
        <w:jc w:val="center"/>
        <w:rPr>
          <w:rFonts w:eastAsia="黑体" w:hint="eastAsia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申报表</w:t>
      </w:r>
    </w:p>
    <w:p w:rsidR="006B192D" w:rsidRDefault="006B192D" w:rsidP="006B192D">
      <w:pPr>
        <w:jc w:val="center"/>
        <w:rPr>
          <w:rFonts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（新申报城市填写）</w:t>
      </w:r>
    </w:p>
    <w:p w:rsidR="006B192D" w:rsidRDefault="006B192D" w:rsidP="006B192D">
      <w:pPr>
        <w:jc w:val="center"/>
        <w:rPr>
          <w:rFonts w:eastAsia="黑体" w:hint="eastAsia"/>
          <w:sz w:val="52"/>
          <w:szCs w:val="52"/>
        </w:rPr>
      </w:pPr>
      <w:r>
        <w:rPr>
          <w:rFonts w:eastAsia="黑体"/>
          <w:sz w:val="52"/>
          <w:szCs w:val="52"/>
        </w:rPr>
        <w:t xml:space="preserve"> </w:t>
      </w:r>
    </w:p>
    <w:p w:rsidR="006B192D" w:rsidRDefault="006B192D" w:rsidP="006B192D">
      <w:pPr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 xml:space="preserve"> </w:t>
      </w:r>
    </w:p>
    <w:p w:rsidR="006B192D" w:rsidRDefault="006B192D" w:rsidP="006B192D">
      <w:pPr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 xml:space="preserve"> </w:t>
      </w:r>
    </w:p>
    <w:p w:rsidR="006B192D" w:rsidRDefault="006B192D" w:rsidP="006B192D">
      <w:pPr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 xml:space="preserve"> </w:t>
      </w:r>
    </w:p>
    <w:p w:rsidR="006B192D" w:rsidRDefault="006B192D" w:rsidP="006B192D">
      <w:pPr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 xml:space="preserve"> </w:t>
      </w:r>
    </w:p>
    <w:p w:rsidR="006B192D" w:rsidRDefault="006B192D" w:rsidP="006B192D">
      <w:pPr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 xml:space="preserve"> </w:t>
      </w:r>
    </w:p>
    <w:p w:rsidR="006B192D" w:rsidRDefault="006B192D" w:rsidP="006B192D">
      <w:pPr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 xml:space="preserve"> </w:t>
      </w:r>
    </w:p>
    <w:p w:rsidR="006B192D" w:rsidRDefault="006B192D" w:rsidP="006B192D">
      <w:pPr>
        <w:spacing w:line="360" w:lineRule="auto"/>
        <w:ind w:firstLine="426"/>
        <w:rPr>
          <w:rFonts w:eastAsia="黑体" w:hAnsi="黑体"/>
          <w:sz w:val="36"/>
          <w:szCs w:val="36"/>
          <w:u w:val="thick"/>
        </w:rPr>
      </w:pPr>
      <w:r>
        <w:rPr>
          <w:rFonts w:ascii="黑体" w:eastAsia="黑体" w:hAnsi="黑体" w:hint="eastAsia"/>
          <w:sz w:val="36"/>
          <w:szCs w:val="36"/>
        </w:rPr>
        <w:t>申</w:t>
      </w:r>
      <w:r>
        <w:rPr>
          <w:rFonts w:eastAsia="黑体" w:hAnsi="黑体"/>
          <w:sz w:val="36"/>
          <w:szCs w:val="36"/>
        </w:rPr>
        <w:t xml:space="preserve"> </w:t>
      </w:r>
      <w:r>
        <w:rPr>
          <w:rFonts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报</w:t>
      </w:r>
      <w:r>
        <w:rPr>
          <w:rFonts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城</w:t>
      </w:r>
      <w:r>
        <w:rPr>
          <w:rFonts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市：</w:t>
      </w:r>
      <w:r>
        <w:rPr>
          <w:rFonts w:eastAsia="黑体" w:hAnsi="黑体" w:hint="eastAsia"/>
          <w:sz w:val="36"/>
          <w:szCs w:val="36"/>
          <w:u w:val="thick"/>
        </w:rPr>
        <w:t xml:space="preserve">                          </w:t>
      </w:r>
    </w:p>
    <w:p w:rsidR="006B192D" w:rsidRDefault="006B192D" w:rsidP="006B192D">
      <w:pPr>
        <w:spacing w:line="360" w:lineRule="auto"/>
        <w:ind w:firstLine="426"/>
        <w:rPr>
          <w:rFonts w:eastAsia="黑体" w:hAnsi="黑体"/>
          <w:sz w:val="36"/>
          <w:szCs w:val="36"/>
          <w:u w:val="thick"/>
        </w:rPr>
      </w:pPr>
      <w:r>
        <w:rPr>
          <w:rFonts w:ascii="黑体" w:eastAsia="黑体" w:hAnsi="黑体" w:hint="eastAsia"/>
          <w:sz w:val="36"/>
          <w:szCs w:val="36"/>
        </w:rPr>
        <w:t>申报主体（盖章）：</w:t>
      </w:r>
      <w:r>
        <w:rPr>
          <w:rFonts w:eastAsia="黑体" w:hAnsi="黑体" w:hint="eastAsia"/>
          <w:sz w:val="36"/>
          <w:szCs w:val="36"/>
          <w:u w:val="thick"/>
        </w:rPr>
        <w:t xml:space="preserve">                          </w:t>
      </w:r>
    </w:p>
    <w:p w:rsidR="006B192D" w:rsidRDefault="006B192D" w:rsidP="006B192D">
      <w:pPr>
        <w:spacing w:line="360" w:lineRule="auto"/>
        <w:ind w:firstLine="426"/>
        <w:rPr>
          <w:rFonts w:eastAsia="黑体" w:hAnsi="黑体"/>
          <w:sz w:val="36"/>
          <w:szCs w:val="36"/>
          <w:u w:val="thick"/>
        </w:rPr>
      </w:pPr>
      <w:r>
        <w:rPr>
          <w:rFonts w:ascii="黑体" w:eastAsia="黑体" w:hAnsi="黑体" w:hint="eastAsia"/>
          <w:sz w:val="36"/>
          <w:szCs w:val="36"/>
        </w:rPr>
        <w:t>申</w:t>
      </w:r>
      <w:r>
        <w:rPr>
          <w:rFonts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报</w:t>
      </w:r>
      <w:r>
        <w:rPr>
          <w:rFonts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时</w:t>
      </w:r>
      <w:r>
        <w:rPr>
          <w:rFonts w:eastAsia="黑体" w:hAnsi="黑体" w:hint="eastAsia"/>
          <w:sz w:val="36"/>
          <w:szCs w:val="36"/>
        </w:rPr>
        <w:t xml:space="preserve">   </w:t>
      </w:r>
      <w:r>
        <w:rPr>
          <w:rFonts w:ascii="黑体" w:eastAsia="黑体" w:hAnsi="黑体" w:hint="eastAsia"/>
          <w:sz w:val="36"/>
          <w:szCs w:val="36"/>
        </w:rPr>
        <w:t>间：</w:t>
      </w:r>
      <w:r>
        <w:rPr>
          <w:rFonts w:eastAsia="黑体" w:hAnsi="黑体" w:hint="eastAsia"/>
          <w:sz w:val="36"/>
          <w:szCs w:val="36"/>
          <w:u w:val="thick"/>
        </w:rPr>
        <w:t xml:space="preserve">                          </w:t>
      </w:r>
    </w:p>
    <w:p w:rsidR="006B192D" w:rsidRDefault="006B192D" w:rsidP="006B192D">
      <w:pPr>
        <w:spacing w:line="360" w:lineRule="auto"/>
        <w:rPr>
          <w:rFonts w:eastAsia="黑体" w:hAnsi="黑体"/>
        </w:rPr>
      </w:pPr>
      <w:r>
        <w:rPr>
          <w:rFonts w:eastAsia="黑体" w:hAnsi="黑体"/>
        </w:rPr>
        <w:t xml:space="preserve"> </w:t>
      </w:r>
    </w:p>
    <w:p w:rsidR="006B192D" w:rsidRDefault="006B192D" w:rsidP="006B192D">
      <w:pPr>
        <w:jc w:val="center"/>
      </w:pPr>
      <w:r>
        <w:rPr>
          <w:rFonts w:ascii="黑体" w:eastAsia="黑体" w:hAnsi="黑体" w:cs="方正仿宋_GBK" w:hint="eastAsia"/>
          <w:sz w:val="36"/>
          <w:szCs w:val="36"/>
        </w:rPr>
        <w:t>文化和旅游部制</w:t>
      </w:r>
    </w:p>
    <w:p w:rsidR="006B192D" w:rsidRDefault="006B192D" w:rsidP="006B192D">
      <w:pPr>
        <w:widowControl/>
        <w:jc w:val="left"/>
        <w:rPr>
          <w:rFonts w:ascii="仿宋_GB2312" w:eastAsia="宋体"/>
          <w:b/>
          <w:bCs/>
        </w:rPr>
        <w:sectPr w:rsidR="006B192D">
          <w:pgSz w:w="11906" w:h="16838"/>
          <w:pgMar w:top="2098" w:right="1531" w:bottom="1701" w:left="1531" w:header="851" w:footer="1247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934"/>
        <w:gridCol w:w="1406"/>
        <w:gridCol w:w="977"/>
        <w:gridCol w:w="2679"/>
      </w:tblGrid>
      <w:tr w:rsidR="006B192D" w:rsidTr="006B192D">
        <w:trPr>
          <w:jc w:val="center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spacing w:line="52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lastRenderedPageBreak/>
              <w:t>城市（地级市、</w:t>
            </w:r>
          </w:p>
          <w:p w:rsidR="006B192D" w:rsidRDefault="006B192D">
            <w:pPr>
              <w:spacing w:line="52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副省级市）名称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2D" w:rsidRDefault="006B192D">
            <w:pPr>
              <w:jc w:val="center"/>
              <w:rPr>
                <w:rFonts w:eastAsia="楷体_GB2312"/>
                <w:bCs/>
              </w:rPr>
            </w:pPr>
          </w:p>
        </w:tc>
      </w:tr>
      <w:tr w:rsidR="006B192D" w:rsidTr="006B192D">
        <w:trPr>
          <w:jc w:val="center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所在省（区、市）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2D" w:rsidRDefault="006B192D">
            <w:pPr>
              <w:jc w:val="center"/>
              <w:rPr>
                <w:rFonts w:eastAsia="楷体_GB2312"/>
                <w:bCs/>
              </w:rPr>
            </w:pPr>
          </w:p>
        </w:tc>
      </w:tr>
      <w:tr w:rsidR="006B192D" w:rsidTr="006B192D">
        <w:trPr>
          <w:jc w:val="center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spacing w:line="52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省（区、市）相关部门</w:t>
            </w:r>
          </w:p>
          <w:p w:rsidR="006B192D" w:rsidRDefault="006B192D">
            <w:pPr>
              <w:spacing w:line="52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推荐意见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（盖章）</w:t>
            </w:r>
          </w:p>
        </w:tc>
      </w:tr>
      <w:tr w:rsidR="006B192D" w:rsidTr="006B192D">
        <w:trPr>
          <w:jc w:val="center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spacing w:line="52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试点城市建设工作</w:t>
            </w:r>
          </w:p>
          <w:p w:rsidR="006B192D" w:rsidRDefault="006B192D">
            <w:pPr>
              <w:spacing w:line="52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责任主体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2D" w:rsidRDefault="006B192D">
            <w:pPr>
              <w:jc w:val="center"/>
              <w:rPr>
                <w:bCs/>
              </w:rPr>
            </w:pPr>
          </w:p>
        </w:tc>
      </w:tr>
      <w:tr w:rsidR="006B192D" w:rsidTr="006B192D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jc w:val="center"/>
              <w:rPr>
                <w:rFonts w:ascii="仿宋_GB2312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负责人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2D" w:rsidRDefault="006B192D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jc w:val="center"/>
              <w:rPr>
                <w:rFonts w:ascii="仿宋_GB2312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职务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2D" w:rsidRDefault="006B192D">
            <w:pPr>
              <w:jc w:val="center"/>
              <w:rPr>
                <w:rFonts w:ascii="仿宋_GB2312"/>
                <w:bCs/>
              </w:rPr>
            </w:pPr>
          </w:p>
        </w:tc>
      </w:tr>
      <w:tr w:rsidR="006B192D" w:rsidTr="006B192D">
        <w:trPr>
          <w:trHeight w:val="65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spacing w:line="500" w:lineRule="exact"/>
              <w:jc w:val="center"/>
              <w:rPr>
                <w:rFonts w:ascii="仿宋_GB2312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牵头部门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2D" w:rsidRDefault="006B192D">
            <w:pPr>
              <w:spacing w:line="500" w:lineRule="exact"/>
              <w:jc w:val="center"/>
              <w:rPr>
                <w:rFonts w:ascii="仿宋_GB2312"/>
                <w:bCs/>
              </w:rPr>
            </w:pPr>
          </w:p>
        </w:tc>
      </w:tr>
      <w:tr w:rsidR="006B192D" w:rsidTr="006B192D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jc w:val="center"/>
              <w:rPr>
                <w:rFonts w:ascii="仿宋_GB2312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联系人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2D" w:rsidRDefault="006B192D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jc w:val="center"/>
              <w:rPr>
                <w:rFonts w:ascii="仿宋_GB2312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职务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2D" w:rsidRDefault="006B192D">
            <w:pPr>
              <w:jc w:val="center"/>
              <w:rPr>
                <w:rFonts w:ascii="仿宋_GB2312"/>
                <w:bCs/>
              </w:rPr>
            </w:pPr>
          </w:p>
        </w:tc>
      </w:tr>
      <w:tr w:rsidR="006B192D" w:rsidTr="006B192D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jc w:val="center"/>
              <w:rPr>
                <w:rFonts w:ascii="仿宋_GB2312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联系电话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2D" w:rsidRDefault="006B192D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jc w:val="center"/>
              <w:rPr>
                <w:rFonts w:ascii="仿宋_GB2312" w:hAnsi="仿宋_GB2312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邮箱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2D" w:rsidRDefault="006B192D">
            <w:pPr>
              <w:jc w:val="center"/>
              <w:rPr>
                <w:rFonts w:ascii="仿宋_GB2312" w:hAnsi="仿宋_GB2312"/>
                <w:bCs/>
              </w:rPr>
            </w:pPr>
          </w:p>
        </w:tc>
      </w:tr>
      <w:tr w:rsidR="006B192D" w:rsidTr="006B192D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jc w:val="center"/>
              <w:rPr>
                <w:rFonts w:ascii="仿宋_GB2312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传真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2D" w:rsidRDefault="006B192D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jc w:val="center"/>
              <w:rPr>
                <w:rFonts w:ascii="仿宋_GB2312" w:hAnsi="仿宋_GB2312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邮编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2D" w:rsidRDefault="006B192D">
            <w:pPr>
              <w:jc w:val="center"/>
              <w:rPr>
                <w:rFonts w:ascii="仿宋_GB2312" w:hAnsi="仿宋_GB2312"/>
                <w:bCs/>
              </w:rPr>
            </w:pPr>
          </w:p>
        </w:tc>
      </w:tr>
      <w:tr w:rsidR="006B192D" w:rsidTr="006B192D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2D" w:rsidRDefault="006B192D">
            <w:pPr>
              <w:jc w:val="center"/>
              <w:rPr>
                <w:rFonts w:ascii="仿宋_GB2312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通信地址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2D" w:rsidRDefault="006B192D">
            <w:pPr>
              <w:jc w:val="center"/>
              <w:rPr>
                <w:rFonts w:ascii="仿宋_GB2312"/>
                <w:bCs/>
              </w:rPr>
            </w:pPr>
          </w:p>
        </w:tc>
      </w:tr>
      <w:tr w:rsidR="006B192D" w:rsidTr="006B192D">
        <w:trPr>
          <w:trHeight w:val="5143"/>
          <w:jc w:val="center"/>
        </w:trPr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2D" w:rsidRDefault="006B192D">
            <w:pPr>
              <w:spacing w:line="480" w:lineRule="exact"/>
              <w:rPr>
                <w:rFonts w:ascii="仿宋_GB2312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试点工作的基础和条件</w:t>
            </w:r>
          </w:p>
          <w:p w:rsidR="006B192D" w:rsidRDefault="006B192D">
            <w:pPr>
              <w:spacing w:line="480" w:lineRule="exact"/>
              <w:rPr>
                <w:rFonts w:ascii="仿宋_GB2312" w:hAns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1.地区生产总值及在全省（区、市）排名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；</w:t>
            </w:r>
          </w:p>
          <w:p w:rsidR="006B192D" w:rsidRDefault="006B192D">
            <w:pPr>
              <w:spacing w:line="48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2.居民人均可支配收入及在全省（区、市）排名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；</w:t>
            </w:r>
          </w:p>
          <w:p w:rsidR="006B192D" w:rsidRDefault="006B192D">
            <w:pPr>
              <w:spacing w:line="48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3.居民文化娱乐支出占消费支出比重及在全省（区、市）排名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；</w:t>
            </w:r>
          </w:p>
          <w:p w:rsidR="006B192D" w:rsidRDefault="006B192D">
            <w:pPr>
              <w:spacing w:line="48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4.文化产业、旅游产业增加值及分别在全省（区、市）排名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；</w:t>
            </w:r>
          </w:p>
          <w:p w:rsidR="006B192D" w:rsidRDefault="006B192D">
            <w:pPr>
              <w:spacing w:line="480" w:lineRule="exact"/>
              <w:ind w:left="297" w:hangingChars="106" w:hanging="297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5.文化消费设施建设情况（博物馆、美术馆、图书馆、影剧院、主题公园、书店、高品质步行街、文体商旅综合体等）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；</w:t>
            </w:r>
          </w:p>
          <w:p w:rsidR="006B192D" w:rsidRDefault="006B192D">
            <w:pPr>
              <w:spacing w:line="480" w:lineRule="exact"/>
              <w:ind w:left="283" w:hangingChars="101" w:hanging="283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6.旅游消费设施建设情况（4A级及以上旅游景区、省级以上休闲度假区、四星级及以上或高品质酒店、乡村旅游、红色旅游）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  <w:p w:rsidR="006B192D" w:rsidRDefault="006B192D">
            <w:pPr>
              <w:spacing w:line="48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注：第1-4项数据以统计部门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上一年度</w:t>
            </w:r>
            <w:r>
              <w:rPr>
                <w:rFonts w:ascii="仿宋_GB2312" w:hAnsi="仿宋_GB2312"/>
                <w:sz w:val="28"/>
                <w:szCs w:val="28"/>
              </w:rPr>
              <w:t>数据为准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</w:tc>
      </w:tr>
      <w:tr w:rsidR="006B192D" w:rsidTr="006B192D">
        <w:trPr>
          <w:trHeight w:val="6220"/>
          <w:jc w:val="center"/>
        </w:trPr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2D" w:rsidRDefault="006B192D">
            <w:pPr>
              <w:rPr>
                <w:rFonts w:ascii="仿宋_GB2312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试点工作机制情况</w:t>
            </w:r>
          </w:p>
        </w:tc>
      </w:tr>
      <w:tr w:rsidR="006B192D" w:rsidTr="006B192D">
        <w:trPr>
          <w:trHeight w:val="6388"/>
          <w:jc w:val="center"/>
        </w:trPr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2D" w:rsidRDefault="006B192D">
            <w:pPr>
              <w:jc w:val="left"/>
              <w:rPr>
                <w:rFonts w:ascii="仿宋_GB2312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试点工作方案简要情况</w:t>
            </w:r>
            <w:r>
              <w:rPr>
                <w:rFonts w:ascii="宋体" w:eastAsia="宋体" w:hAnsi="宋体" w:cs="宋体" w:hint="eastAsia"/>
                <w:bCs/>
              </w:rPr>
              <w:t>（简要描述工作思路、目标、举措、保障措施等。详细方案需另附。）</w:t>
            </w:r>
          </w:p>
        </w:tc>
      </w:tr>
    </w:tbl>
    <w:p w:rsidR="00965344" w:rsidRPr="006B192D" w:rsidRDefault="00965344">
      <w:pPr>
        <w:rPr>
          <w:rFonts w:eastAsiaTheme="minorEastAsia" w:hint="eastAsia"/>
        </w:rPr>
      </w:pPr>
      <w:bookmarkStart w:id="0" w:name="_GoBack"/>
      <w:bookmarkEnd w:id="0"/>
    </w:p>
    <w:sectPr w:rsidR="00965344" w:rsidRPr="006B1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2D"/>
    <w:rsid w:val="006B192D"/>
    <w:rsid w:val="0096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5E54"/>
  <w15:chartTrackingRefBased/>
  <w15:docId w15:val="{9608663F-990C-4CAB-8A26-83FAA258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2D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2020-10-27T08:57:00Z</dcterms:created>
  <dcterms:modified xsi:type="dcterms:W3CDTF">2020-10-27T08:58:00Z</dcterms:modified>
</cp:coreProperties>
</file>